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PER LA SELEZIONE DI PROGETTI E INIZIATIVE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SOGGETTI TERZI PORTATORI DI INTERESSI COLLETTIVI DELLE IMPRESE DELLA REGIONE MARCHE DA REALIZZARE CON IL CONTRIBUTO CAMERALE ANNO 202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B2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RENDICONTO FINANZIARIO DELL’INIZIATIVA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5.000000000002" w:type="dxa"/>
        <w:jc w:val="left"/>
        <w:tblInd w:w="-2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66"/>
        <w:gridCol w:w="1186"/>
        <w:gridCol w:w="631"/>
        <w:gridCol w:w="734"/>
        <w:gridCol w:w="2431"/>
        <w:gridCol w:w="1020"/>
        <w:gridCol w:w="1366"/>
        <w:gridCol w:w="1261"/>
        <w:tblGridChange w:id="0">
          <w:tblGrid>
            <w:gridCol w:w="1366"/>
            <w:gridCol w:w="1186"/>
            <w:gridCol w:w="631"/>
            <w:gridCol w:w="734"/>
            <w:gridCol w:w="2431"/>
            <w:gridCol w:w="1020"/>
            <w:gridCol w:w="1366"/>
            <w:gridCol w:w="1261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SPESE                                                                                                                                                                      (specificare se al lordo o netto di IVA)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Intestatario Fattura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Fornitore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Fattura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causale/oggetto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€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pagamento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di pagamento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n° doc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Spese del personale (se autocertificate nel mod. B3)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4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SPESE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75.0" w:type="dxa"/>
        <w:jc w:val="left"/>
        <w:tblInd w:w="-2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4" w:val="single"/>
          <w:insideH w:color="000000" w:space="0" w:sz="8" w:val="single"/>
          <w:insideV w:color="000000" w:space="0" w:sz="4" w:val="single"/>
        </w:tblBorders>
        <w:tblLayout w:type="fixed"/>
        <w:tblLook w:val="0000"/>
      </w:tblPr>
      <w:tblGrid>
        <w:gridCol w:w="2356"/>
        <w:gridCol w:w="3239"/>
        <w:gridCol w:w="1623"/>
        <w:gridCol w:w="1457"/>
        <w:tblGridChange w:id="0">
          <w:tblGrid>
            <w:gridCol w:w="2356"/>
            <w:gridCol w:w="3239"/>
            <w:gridCol w:w="1623"/>
            <w:gridCol w:w="1457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ENTRATE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(autocertificate nel modello 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Soggetto erogatore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Natura dell'entrata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accertato in €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incassato in €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ENTRATE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255.0" w:type="dxa"/>
        <w:jc w:val="left"/>
        <w:tblInd w:w="-226.0" w:type="dxa"/>
        <w:tblLayout w:type="fixed"/>
        <w:tblLook w:val="0000"/>
      </w:tblPr>
      <w:tblGrid>
        <w:gridCol w:w="1262"/>
        <w:gridCol w:w="1682"/>
        <w:gridCol w:w="519"/>
        <w:gridCol w:w="720"/>
        <w:gridCol w:w="1416"/>
        <w:gridCol w:w="1656"/>
        <w:tblGridChange w:id="0">
          <w:tblGrid>
            <w:gridCol w:w="1262"/>
            <w:gridCol w:w="1682"/>
            <w:gridCol w:w="519"/>
            <w:gridCol w:w="720"/>
            <w:gridCol w:w="1416"/>
            <w:gridCol w:w="1656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in €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DISAVANZO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(differenza tra spese ed entrate accertate)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                                                                               Soggetto Attuatore beneficiario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  </w:t>
        <w:tab/>
        <w:t xml:space="preserve">                                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ISTRUZIONI: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spese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vanno elencate in maniera puntuale e analitica. Le spese vanno indicate 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al netto dell’IVA se detraibile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mentre 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vanno indicate al lordo dell’IVA se indetraibile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Specificare se gli importi sono indicati con IVA al lordo o al netto.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possono essere indicate spese non ammissibili ai sensi del regolamento camerale.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Qualora si intendano rendicontare le spese del personale (nella misura massima complessiva del 40% del budget), indicare il relativ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import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solo se 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è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stat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autocertificat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nel Modello B - domanda di liquidazione (punto 7) e nel Modello B3.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Non sono ammesse spese forfettarie non documentate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entrate accertate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riferibili al progetto anche se ancora materialmente non acquisite/incassate.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Dettagliare l’importo, autocertificato nel modello B ( punto 8), indicando eventuali contributi richiesti ad altri enti pubblici o altri proventi per sponsor o compartecipazione di privati, specificandone la provenienza, nonché eventuali altri proventi attesi ed ogni altra fonte di finanziamento (biglietti di ingresso, quote di iscrizione/partecipazione, vendita di beni e servizi…). Nel caso non vi siano entrate riferibili al progetto, oltre all’eventuale contributo camerale, indicarlo espressamente.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1134" w:header="0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Modello B2 – Rendiconto finanziario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L’istanza deve essere sottoscritta con firma digitale e inviata per via telematica.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vertAlign w:val="subscript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0" w:righ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0" w:right="0" w:hanging="1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