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E INIZIATIVE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SOGGETTI TERZI PORTATORI DI INTERESSI COLLETTIVI DELLE IMPRESE DELLA REGIONE MARCHE DA REALIZZARE CON IL CONTRIBUTO CAMERALE ANNO 202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B2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RENDICONTO FINANZIARIO DELL’INIZIATIVA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5.000000000002" w:type="dxa"/>
        <w:jc w:val="left"/>
        <w:tblInd w:w="-2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6"/>
        <w:gridCol w:w="1186"/>
        <w:gridCol w:w="631"/>
        <w:gridCol w:w="734"/>
        <w:gridCol w:w="2431"/>
        <w:gridCol w:w="1020"/>
        <w:gridCol w:w="1366"/>
        <w:gridCol w:w="1261"/>
        <w:tblGridChange w:id="0">
          <w:tblGrid>
            <w:gridCol w:w="1366"/>
            <w:gridCol w:w="1186"/>
            <w:gridCol w:w="631"/>
            <w:gridCol w:w="734"/>
            <w:gridCol w:w="2431"/>
            <w:gridCol w:w="1020"/>
            <w:gridCol w:w="1366"/>
            <w:gridCol w:w="1261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                                                                                                                                                                     (specificare se al lordo o netto di IVA)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Intestatario Fattura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Fornitore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Fattura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causale/oggetto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€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pagamento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di pagamento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doc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Spese del personale (se autocertificate nel mod. B3)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SPESE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75.0" w:type="dxa"/>
        <w:jc w:val="left"/>
        <w:tblInd w:w="-2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4" w:val="single"/>
          <w:insideH w:color="000000" w:space="0" w:sz="8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3239"/>
        <w:gridCol w:w="1623"/>
        <w:gridCol w:w="1457"/>
        <w:tblGridChange w:id="0">
          <w:tblGrid>
            <w:gridCol w:w="2356"/>
            <w:gridCol w:w="3239"/>
            <w:gridCol w:w="1623"/>
            <w:gridCol w:w="145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(autocertificate nel modello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Soggetto erogatore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 dell'entrata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accertato in €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incassato in €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55.0" w:type="dxa"/>
        <w:jc w:val="left"/>
        <w:tblInd w:w="-226.0" w:type="dxa"/>
        <w:tblLayout w:type="fixed"/>
        <w:tblLook w:val="0000"/>
      </w:tblPr>
      <w:tblGrid>
        <w:gridCol w:w="1262"/>
        <w:gridCol w:w="1682"/>
        <w:gridCol w:w="519"/>
        <w:gridCol w:w="720"/>
        <w:gridCol w:w="1416"/>
        <w:gridCol w:w="1656"/>
        <w:tblGridChange w:id="0">
          <w:tblGrid>
            <w:gridCol w:w="1262"/>
            <w:gridCol w:w="1682"/>
            <w:gridCol w:w="519"/>
            <w:gridCol w:w="720"/>
            <w:gridCol w:w="1416"/>
            <w:gridCol w:w="165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 €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DISAVANZO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(differenza tra spese ed entrate accertate)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Soggetto Attuatore beneficiario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  </w:t>
        <w:tab/>
        <w:t xml:space="preserve">                       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ISTRUZIONI: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spese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vanno elencate in maniera puntuale e analitica. Le spese vanno indicate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al netto dell’IVA se detraibile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mentre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vanno indicate al lordo dell’IVA se indetraibile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Specificare se gli importi sono indicati con IVA al lordo o al netto.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possono essere indicate spese non ammissibili ai sensi del regolamento camerale.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Qualora si intendano rendicontare le spese del personale (nella misura massima complessiva del 40% del budget), indicare il relativ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import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solo se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è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stat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autocertificat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 Modello B - domanda di liquidazione (punto 7) e nel Modello B3.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Non sono ammesse spese forfettarie non documentate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entrate accertate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riferibili al progetto anche se ancora materialmente non acquisite/incassate.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Dettagliare l’importo, autocertificato nel modello B ( punto 8), indicando eventuali contributi richiesti ad altri enti pubblici o altri proventi per sponsor o compartecipazione di privati, specificandone la provenienza, nonché eventuali altri proventi attesi ed ogni altra fonte di finanziamento (biglietti di ingresso, quote di iscrizione/partecipazione, vendita di beni e servizi…). Nel caso non vi siano entrate riferibili al progetto, oltre all’eventuale contributo camerale, indicarlo espressamente.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Modello B2 – Rendiconto finanziario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L’istanza deve essere sottoscritta con firma digitale e inviata per via telematica.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vertAlign w:val="subscript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0" w:right="0" w:hanging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0" w:right="0" w:hanging="1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