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vertAlign w:val="baseline"/>
          <w:rtl w:val="0"/>
        </w:rPr>
        <w:t xml:space="preserve">2</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p>
    <w:p w:rsidR="00000000" w:rsidDel="00000000" w:rsidP="00000000" w:rsidRDefault="00000000" w:rsidRPr="00000000" w14:paraId="00000005">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NOTORIETA’ ex artt. 46 e 47 D.P.R. 445/2000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80"/>
        </w:tabs>
        <w:spacing w:after="0" w:before="0" w:line="240"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dell’eventuale contributo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80"/>
        </w:tabs>
        <w:spacing w:after="0" w:before="0" w:line="240"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attuatore/beneficiario qualora il soggetto proponente lo abbia individuato nella domanda di partecipazione al bando)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80"/>
          <w:tab w:val="left" w:pos="5670"/>
        </w:tabs>
        <w:spacing w:after="0" w:before="0" w:line="240" w:lineRule="auto"/>
        <w:ind w:left="4956" w:right="0" w:hanging="1.0000000000002274"/>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670"/>
        </w:tabs>
        <w:spacing w:after="0" w:before="0" w:line="240" w:lineRule="auto"/>
        <w:ind w:left="4956" w:right="0" w:hanging="1.000000000000227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cciaa@pec.marche.camcom.it</w: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 C.F. o P.IVA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fini della partecipazione all’“Avviso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vertAlign w:val="baseline"/>
          <w:rtl w:val="0"/>
        </w:rPr>
        <w:t xml:space="preserve">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CHE IL SOGGETTO RAPPRESENTATO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Compilare in ogni sua parte e ove richiesto barrare l’opzione corretta)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iscritto al n.__________ del Registro delle Imprese di __________ ed è in regola con il pagamento del diritto annuale;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è tenuto all’iscrizione al Registro delle Imprese e non è soggetto al pagamento del diritto annuale;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40"/>
        </w:tabs>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svolge attività commerciale e non è quindi assoggettato alla ritenuta del 4% di cui al D.P.R. 600/1973</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il soggetto beneficiario, l’IVA: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rappresenta un costo;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detraibile;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parzialmente detraibile nella misura del 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richiede il contributo nel rispetto delle normative comunitarie in materia di aiuti di Stato (cd.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regime “de minimis”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dichiara: </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(barrare l’opzione interessata);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ab/>
        <w:tab/>
        <w:t xml:space="preserve">oppure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che 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’iniziativa è realizzata da un soggetto attuatore avente natura di impresa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risulta beneficiario del contributo e consegue un vantaggio economico diretto.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Pertanto,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fini della concessione dell’aiuto in regime “de minimis”, il sottoscritto, legale rappresentante del soggetto a cui verrà erogato il contributo camerale,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dichiara: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appartiene alla categoria delle piccole e medie impresa PMI secondo la definizione comunitaria contenuta nella raccomandazione della Commissione Europea 2003/361/CE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recepita con il Decreto Ministeriale 18 aprile 2005, e nell’Allegato I al Regolamento n. 651/2014/UE della Commissione europea, in particolare: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media impresa</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piccola impresa</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 impresa</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controlla, anche indirettamente, le imprese seguenti aventi sede in Italia:</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controllata, anche indirettamente, dalle imprese seguenti aventi sede in Italia:</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1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relativamente alle stesse spese ammissibili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non ha ricevuto altri aiuti pubblici;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709"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ricevuto i seguenti aiuti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INOLTRE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preso visione dell’“Avviso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vertAlign w:val="baseline"/>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garantirà l’accesso all’iniziativa da parte di chiunque sia interessato;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a conoscenza dei casi che comportano la riduzione o la revoca del contributo eventualmente concesso dalla Camera di Commercio;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impegnarsi ad assicurare, in caso di concessione del contributo, adeguata pubblicizzazione dell’intervento camerale nell’attività di comunicazione dell’iniziativa, tramite la riproduzione su tutto il materiale promozionale del logo camerale.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62">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63">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64">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65">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66">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134" w:top="1417" w:left="127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hanging="1"/>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A2 – Dichiarazione sostitutiva dell’atto di notorietà ex art. 46 e 47 D.P.R. 445/2000 - 202</w:t>
    </w:r>
    <w:r w:rsidDel="00000000" w:rsidR="00000000" w:rsidRPr="00000000">
      <w:rPr>
        <w:rFonts w:ascii="Arial" w:cs="Arial" w:eastAsia="Arial" w:hAnsi="Arial"/>
        <w:sz w:val="16"/>
        <w:szCs w:val="16"/>
        <w:vertAlign w:val="baseline"/>
        <w:rtl w:val="0"/>
      </w:rPr>
      <w:t xml:space="preserve">2</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 cui al</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 UE 1407/2013 pubblicato 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 devono considerare tutte le imprese, a monte o a valle, legate all’impresa dichiarante da un rapporto di collegamento (controllo), nell’ambito dello stesso Stato membro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 cui al</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 UE 1407/2013 pubblicato 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 devono indicare tutte le imprese, a monte o a valle, legate all’impresa dichiarante da un rapporto di collegamento (controllo), nell’ambito dello stesso Stato membro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Compilare nel caso in cui in relazione alle stesse spese abbia beneficiato di altri aiuti di stato, anche non a titolo di de minimis ai sensi dell’art. 87 del Trattato CE.</w:t>
      </w:r>
    </w:p>
  </w:footnote>
  <w:footnote w:id="3">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